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华为投资控股有限公司 2021年可持续发展报告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2008 年起，华为投资控股有限公司（以下简称“华为”、“公司”或“我们”）每年主动发布可持续发展报告，向利益相关方披露华为的可持续发展状况，促进华为与利益相关方之间的了解、沟通与互动，提升企业透明度。本报告的组织范围涵盖了公司对财务和运营政策及措施有控制权或有重大影响的所有实体，并与公司年报所覆盖的范围一致；除非有特殊说明，本报告描述报告期间内（2021 年 1 月 1 日至 2021 年 12 月 31 日）华为总部和所有分支机构在经济、环境和社会方面的全球运营情况，所用数据来自华为的正式文件和统计报告，其中经济数据详情请参见《华为投资控股有限公司 2021 年年度报告》。</w:t>
      </w:r>
    </w:p>
    <w:p/>
    <w:p/>
    <w:p/>
    <w:p>
      <w:pPr>
        <w:jc w:val="left"/>
      </w:pPr>
      <w:r>
        <w:rPr>
          <w:rFonts w:ascii="宋体" w:hAnsi="宋体" w:eastAsia="宋体" w:cs="宋体"/>
          <w:sz w:val="28"/>
          <w:szCs w:val="28"/>
          <w:b w:val="0"/>
          <w:bCs w:val="0"/>
        </w:rPr>
        <w:t xml:space="preserve">关键词：华为、投资、控股、有限、公司、有限公司、2021、年、可、持续、发展、报告</w:t>
      </w:r>
    </w:p>
    <w:p>
      <w:pPr>
        <w:jc w:val="left"/>
      </w:pPr>
      <w:r>
        <w:rPr>
          <w:rFonts w:ascii="宋体" w:hAnsi="宋体" w:eastAsia="宋体" w:cs="宋体"/>
          <w:sz w:val="28"/>
          <w:szCs w:val="28"/>
          <w:b w:val="0"/>
          <w:bCs w:val="0"/>
        </w:rPr>
        <w:t xml:space="preserve">参考文献：[1]早该帮https://bang.zaogai.com/item/BPS-ITEM-10077.html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2023-05-24T11:46:33+08:00</dcterms:created>
  <dcterms:modified xsi:type="dcterms:W3CDTF">2023-05-24T11:46:33+08:00</dcterms:modified>
</cp:coreProperties>
</file>

<file path=docProps/custom.xml><?xml version="1.0" encoding="utf-8"?>
<Properties xmlns="http://schemas.openxmlformats.org/officeDocument/2006/custom-properties" xmlns:vt="http://schemas.openxmlformats.org/officeDocument/2006/docPropsVTypes"/>
</file>