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医院工作总结审核标准：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 、标题：确定具体部门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 xml:space="preserve">2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、开头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：清晰明了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，承接顺畅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。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 xml:space="preserve">3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、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主体：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（1）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计划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：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目标明确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，对应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是相关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举措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办法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（2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）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总结：取得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成效，不足之处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 xml:space="preserve">4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、</w:t>
      </w:r>
      <w:bookmarkStart w:id="0" w:name="_GoBack"/>
      <w:bookmarkEnd w:id="0"/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结尾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：与开头呼应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OTFmMmQxNGQ0NjA0MmFmMDgzMGFlN2RlMzlmOTAifQ=="/>
  </w:docVars>
  <w:rsids>
    <w:rsidRoot w:val="00000000"/>
    <w:rsid w:val="03EA6456"/>
    <w:rsid w:val="16063E1A"/>
    <w:rsid w:val="1DDB2BD6"/>
    <w:rsid w:val="59C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2023-04-01T08:25:00Z</dcterms:created>
  <dc:creator>adele_k386ttg</dc:creator>
  <cp:lastModifiedBy>Adele</cp:lastModifiedBy>
  <dcterms:modified xsi:type="dcterms:W3CDTF">2023-04-01T08:54:50Z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DF6B8996FB664B35A3D6C82C8499E8DC</vt:lpwstr>
  </property>
</Properties>
</file>